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D9E2F3"/>
        <w:spacing w:after="80"/>
        <w:jc w:val="center"/>
      </w:pPr>
      <w:r>
        <w:rPr>
          <w:b/>
          <w:sz w:val="17"/>
        </w:rPr>
        <w:t>ОБРАЗЕЦ СЧЁТА-ДОГОВОРА. Редакция от 03.11.2026. Не является офертой: счёт-договор с номером, датой, суммой и подписью выставляет менеджер МК Магна.</w:t>
      </w:r>
    </w:p>
    <w:p>
      <w:r>
        <w:rPr>
          <w:b w:val="0"/>
          <w:sz w:val="18"/>
        </w:rPr>
        <w:t>Поставщик: ООО «МК Магна», ИНН 5250050941, КПП 525001001</w:t>
      </w:r>
    </w:p>
    <w:p>
      <w:r>
        <w:rPr>
          <w:b w:val="0"/>
          <w:sz w:val="18"/>
        </w:rPr>
        <w:t>607650, Нижегородская обл., Кстовский р-н, г. Кстово, проезд 10-й (Промышленный р-н), участок № 13. Тел.: 8 (831) 429-07-31</w:t>
      </w:r>
    </w:p>
    <w:p>
      <w:pPr>
        <w:spacing w:after="120"/>
      </w:pPr>
      <w:r>
        <w:rPr>
          <w:b w:val="0"/>
          <w:sz w:val="18"/>
        </w:rPr>
        <w:t>Р/с 40702810042000044526 в ВОЛГО-ВЯТСКИЙ БАНК ПАО СБЕРБАНК, БИК 042202603, к/с 30101810900000000603</w:t>
      </w:r>
    </w:p>
    <w:p>
      <w:pPr>
        <w:spacing w:after="80"/>
        <w:jc w:val="center"/>
      </w:pPr>
      <w:r>
        <w:rPr>
          <w:b/>
          <w:sz w:val="26"/>
        </w:rPr>
        <w:t>СЧЁТ-ДОГОВОР № ______ от «___» ____________ 20__ г.</w:t>
      </w:r>
    </w:p>
    <w:p>
      <w:pPr>
        <w:spacing w:after="120"/>
      </w:pPr>
      <w:r>
        <w:rPr>
          <w:b w:val="0"/>
          <w:sz w:val="18"/>
        </w:rPr>
        <w:t>Покупатель: ______________________________________, ИНН __________, КПП __________, адрес: 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"/>
        <w:gridCol w:w="4082"/>
        <w:gridCol w:w="1134"/>
        <w:gridCol w:w="567"/>
        <w:gridCol w:w="793"/>
        <w:gridCol w:w="1304"/>
        <w:gridCol w:w="1360"/>
      </w:tblGrid>
      <w:tr>
        <w:tc>
          <w:tcPr>
            <w:tcW w:type="dxa" w:w="397"/>
            <w:shd w:val="clear" w:color="auto" w:fill="D9E2F3"/>
          </w:tcPr>
          <w:p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4082"/>
            <w:shd w:val="clear" w:color="auto" w:fill="D9E2F3"/>
          </w:tcPr>
          <w:p>
            <w:r/>
            <w:r>
              <w:rPr>
                <w:b/>
                <w:sz w:val="17"/>
              </w:rPr>
              <w:t>Товар, марка (сорт), ГОСТ / ТУ</w:t>
            </w:r>
          </w:p>
        </w:tc>
        <w:tc>
          <w:tcPr>
            <w:tcW w:type="dxa" w:w="1134"/>
            <w:shd w:val="clear" w:color="auto" w:fill="D9E2F3"/>
          </w:tcPr>
          <w:p>
            <w:r/>
            <w:r>
              <w:rPr>
                <w:b/>
                <w:sz w:val="17"/>
              </w:rPr>
              <w:t>Тара</w:t>
            </w:r>
          </w:p>
        </w:tc>
        <w:tc>
          <w:tcPr>
            <w:tcW w:type="dxa" w:w="567"/>
            <w:shd w:val="clear" w:color="auto" w:fill="D9E2F3"/>
          </w:tcPr>
          <w:p>
            <w:r/>
            <w:r>
              <w:rPr>
                <w:b/>
                <w:sz w:val="17"/>
              </w:rPr>
              <w:t>Ед.</w:t>
            </w:r>
          </w:p>
        </w:tc>
        <w:tc>
          <w:tcPr>
            <w:tcW w:type="dxa" w:w="794"/>
            <w:shd w:val="clear" w:color="auto" w:fill="D9E2F3"/>
          </w:tcPr>
          <w:p>
            <w:r/>
            <w:r>
              <w:rPr>
                <w:b/>
                <w:sz w:val="17"/>
              </w:rPr>
              <w:t>Кол-во</w:t>
            </w:r>
          </w:p>
        </w:tc>
        <w:tc>
          <w:tcPr>
            <w:tcW w:type="dxa" w:w="1304"/>
            <w:shd w:val="clear" w:color="auto" w:fill="D9E2F3"/>
          </w:tcPr>
          <w:p>
            <w:r/>
            <w:r>
              <w:rPr>
                <w:b/>
                <w:sz w:val="17"/>
              </w:rPr>
              <w:t>Цена с НДС 22%, руб.</w:t>
            </w:r>
          </w:p>
        </w:tc>
        <w:tc>
          <w:tcPr>
            <w:tcW w:type="dxa" w:w="1361"/>
            <w:shd w:val="clear" w:color="auto" w:fill="D9E2F3"/>
          </w:tcPr>
          <w:p>
            <w:r/>
            <w:r>
              <w:rPr>
                <w:b/>
                <w:sz w:val="17"/>
              </w:rPr>
              <w:t>Сумма с НДС 22%, руб.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1</w:t>
            </w:r>
          </w:p>
        </w:tc>
        <w:tc>
          <w:tcPr>
            <w:tcW w:type="dxa" w:w="40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567"/>
          </w:tcPr>
          <w:p>
            <w:r/>
            <w:r>
              <w:rPr>
                <w:sz w:val="17"/>
              </w:rPr>
              <w:t>т</w:t>
            </w:r>
          </w:p>
        </w:tc>
        <w:tc>
          <w:tcPr>
            <w:tcW w:type="dxa" w:w="79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2</w:t>
            </w:r>
          </w:p>
        </w:tc>
        <w:tc>
          <w:tcPr>
            <w:tcW w:type="dxa" w:w="40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5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3</w:t>
            </w:r>
          </w:p>
        </w:tc>
        <w:tc>
          <w:tcPr>
            <w:tcW w:type="dxa" w:w="4082"/>
          </w:tcPr>
          <w:p>
            <w:r/>
            <w:r>
              <w:rPr>
                <w:sz w:val="17"/>
              </w:rPr>
              <w:t>Доставка (если указывается отдельной строкой)</w:t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  <w:t>—</w:t>
            </w:r>
          </w:p>
        </w:tc>
        <w:tc>
          <w:tcPr>
            <w:tcW w:type="dxa" w:w="567"/>
          </w:tcPr>
          <w:p>
            <w:r/>
            <w:r>
              <w:rPr>
                <w:sz w:val="17"/>
              </w:rPr>
              <w:t>усл.</w:t>
            </w:r>
          </w:p>
        </w:tc>
        <w:tc>
          <w:tcPr>
            <w:tcW w:type="dxa" w:w="794"/>
          </w:tcPr>
          <w:p>
            <w:r/>
            <w:r>
              <w:rPr>
                <w:sz w:val="17"/>
              </w:rPr>
              <w:t>1</w:t>
            </w:r>
          </w:p>
        </w:tc>
        <w:tc>
          <w:tcPr>
            <w:tcW w:type="dxa" w:w="130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</w:rPr>
        <w:t>Итого к оплате: ______________ руб., в том числе НДС 22%: ______________ руб.</w:t>
      </w:r>
    </w:p>
    <w:p>
      <w:pPr>
        <w:spacing w:after="120"/>
      </w:pPr>
      <w:r>
        <w:rPr>
          <w:b w:val="0"/>
        </w:rPr>
        <w:t>Сумма прописью: _____________________________________________________________________________</w:t>
      </w:r>
    </w:p>
    <w:p>
      <w:pPr>
        <w:spacing w:after="60"/>
      </w:pPr>
      <w:r>
        <w:rPr>
          <w:b/>
        </w:rPr>
        <w:t>Условия поставки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"/>
        <w:gridCol w:w="1814"/>
        <w:gridCol w:w="7427"/>
      </w:tblGrid>
      <w:tr>
        <w:tc>
          <w:tcPr>
            <w:tcW w:type="dxa" w:w="397"/>
            <w:shd w:val="clear" w:color="auto" w:fill="D9E2F3"/>
          </w:tcPr>
          <w:p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1814"/>
            <w:shd w:val="clear" w:color="auto" w:fill="D9E2F3"/>
          </w:tcPr>
          <w:p>
            <w:r/>
            <w:r>
              <w:rPr>
                <w:b/>
                <w:sz w:val="17"/>
              </w:rPr>
              <w:t>Условие</w:t>
            </w:r>
          </w:p>
        </w:tc>
        <w:tc>
          <w:tcPr>
            <w:tcW w:type="dxa" w:w="7427"/>
            <w:shd w:val="clear" w:color="auto" w:fill="D9E2F3"/>
          </w:tcPr>
          <w:p>
            <w:r/>
            <w:r>
              <w:rPr>
                <w:b/>
                <w:sz w:val="17"/>
              </w:rPr>
              <w:t>Содержание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Акцепт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Настоящий счёт-договор является офертой Поставщика. Оплата счёта в полном объёме означает согласие Покупателя со всеми условиями счёта-договора (акцепт, п. 3 ст. 438 ГК РФ). Если между Сторонами действует договор поставки, приоритет имеют условия договора.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2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Оплата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100% предоплата в течение 3 (трёх) банковских дней с даты счёта. Оплата по истечении этого срока принимается только по согласованию с Поставщиком; в ином случае Поставщик вправе вернуть полученные деньги или выставить новый счёт.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3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Способ поставки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☐ самовывоз со склада Поставщика: Нижегородская обл., г. Кстово, проезд 10-й (Промышленный р-н), участок № 13</w:t>
            </w:r>
          </w:p>
          <w:p>
            <w:r>
              <w:rPr>
                <w:sz w:val="17"/>
              </w:rPr>
              <w:t>☐ доставка транспортом Поставщика по адресу: ______________________________</w:t>
            </w:r>
          </w:p>
          <w:p>
            <w:r>
              <w:rPr>
                <w:sz w:val="17"/>
              </w:rPr>
              <w:t>Стоимость доставки: ☐ включена в цену Товара  ☐ указана отдельной строкой счёта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4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Срок отгрузки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Товар из наличия — в день поступления оплаты или в согласованный день; под заказ — плановый срок 5–7 рабочих дней с даты поступления оплаты. При самовывозе Поставщик сообщает о готовности Товара к отгрузке.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5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Количество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Определяется взвешиванием на поверенных весах Поставщика при отгрузке и указывается в УПД и транспортной накладной. Допуск отгрузки ±5% от количества в счёте; оплачивается фактически отгруженное количество: разница доплачивается Покупателем или возвращается Поставщиком в течение 5 (пяти) банковских дней после отгрузки. Расхождение с весом Покупателя до 0,5% недостачей не считается.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6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Качество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Соответствует ГОСТ или ТУ, указанным в счёте. С каждой партией передаётся паспорт качества. При отгрузке наливом отбирается проба, которая делится на три опечатанные части: контрольная хранится у Поставщика 30 календарных дней, вторая передаётся с перевозчиком, арбитражная — Покупателю.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7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Приёмка и претензии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Количество и ассортимент — при приёмке, расхождения отмечаются в УПД или транспортной накладной. Качество — в течение 5 (пяти) рабочих дней с даты приёмки, по результатам анализа арбитражной пробы. Претензии по качеству не принимаются, если Товар слит в ёмкость Покупателя с остатками другого продукта или нарушены пломбы пробы.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8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Переход права собственности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Право собственности и риск случайной гибели Товара переходят к Покупателю в момент передачи Товара и подписания УПД.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9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Погрузка, слив, тара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Погрузка — силами Поставщика. Разгрузка (слив) — силами и за счёт Покупателя. Тара Покупателя должна быть чистой, сухой и пригодной для Товара. Возвратная тара Поставщика возвращается Покупателем; её залоговая стоимость указывается в счёте или УПД.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10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Отказ от Товара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При отказе от приёмки или невывозе Товара Покупатель возмещает документально подтверждённые расходы Поставщика: перевозка, включая порожний пробег и простой, хранение, возврат на склад. Поставщик вправе удержать эти расходы из полученной оплаты и вернуть остаток.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11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Прекурсоры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Для товаров Таблицы III Списка IV (Постановление Правительства РФ № 681 — серная, соляная кислоты) Стороны соблюдают требования законодательства РФ об обороте прекурсоров. Поставщик регистрирует операции с Товаром в порядке, установленном законодательством РФ.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12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Документы и ЭДО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УПД, паспорт качества, транспортная накладная, в том числе электронная (ЭТрН). Документооборот — через СБИС или роуминг с оператором Покупателя. Покупатель своевременно подписывает свои титулы ЭТрН.</w:t>
            </w:r>
          </w:p>
        </w:tc>
      </w:tr>
      <w:tr>
        <w:tc>
          <w:tcPr>
            <w:tcW w:type="dxa" w:w="397"/>
          </w:tcPr>
          <w:p>
            <w:r/>
            <w:r>
              <w:rPr>
                <w:sz w:val="17"/>
              </w:rPr>
              <w:t>13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Споры</w:t>
            </w:r>
          </w:p>
        </w:tc>
        <w:tc>
          <w:tcPr>
            <w:tcW w:type="dxa" w:w="7427"/>
          </w:tcPr>
          <w:p>
            <w:r/>
            <w:r>
              <w:rPr>
                <w:sz w:val="17"/>
              </w:rPr>
              <w:t>Претензионный порядок обязателен, срок ответа на претензию — 15 календарных дней. При недостижении согласия споры рассматриваются в арбитражном суде по месту нахождения истца.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spacing w:after="120"/>
      </w:pPr>
      <w:r>
        <w:rPr>
          <w:b/>
        </w:rPr>
        <w:t>Поставщик: ООО «МК Магна»</w:t>
      </w:r>
    </w:p>
    <w:p>
      <w:pPr>
        <w:spacing w:after="40"/>
      </w:pPr>
      <w:r>
        <w:rPr>
          <w:b w:val="0"/>
        </w:rPr>
        <w:t>Директор ____________________ / Парнюк А.М. /          М.П.</w:t>
      </w:r>
    </w:p>
    <w:p>
      <w:r>
        <w:rPr>
          <w:b w:val="0"/>
          <w:sz w:val="16"/>
        </w:rPr>
        <w:t>Счёт-договор подписывается Поставщиком собственноручно или электронной подписью. Подпись Покупателя не требуется: акцептом является оплата.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счёта-договора ООО «МК Магна»</dc:title>
  <dc:subject/>
  <dc:creator>ООО «МК Магна»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